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B213" w14:textId="77777777" w:rsidR="00BB6D8C" w:rsidRDefault="00000000">
      <w:pPr>
        <w:pStyle w:val="Standard"/>
        <w:spacing w:after="0"/>
        <w:jc w:val="center"/>
      </w:pPr>
      <w:r>
        <w:rPr>
          <w:b/>
          <w:sz w:val="36"/>
        </w:rPr>
        <w:t>Zápis z jednání kontrolní komise MAS Brána Vysočiny, z. s. konané dne 20. 7. 2022</w:t>
      </w:r>
    </w:p>
    <w:p w14:paraId="503D54B9" w14:textId="77777777" w:rsidR="00BB6D8C" w:rsidRDefault="00BB6D8C">
      <w:pPr>
        <w:pStyle w:val="Standard"/>
      </w:pPr>
    </w:p>
    <w:p w14:paraId="5BE82488" w14:textId="77777777" w:rsidR="00BB6D8C" w:rsidRDefault="00000000">
      <w:pPr>
        <w:pStyle w:val="Standard"/>
        <w:spacing w:line="240" w:lineRule="auto"/>
      </w:pPr>
      <w:r>
        <w:t xml:space="preserve">Přítomny za členky kontrolní komise: Z. </w:t>
      </w:r>
      <w:proofErr w:type="gramStart"/>
      <w:r>
        <w:t>Dohnálková ,</w:t>
      </w:r>
      <w:proofErr w:type="gramEnd"/>
      <w:r>
        <w:t xml:space="preserve"> I. Kroutilová</w:t>
      </w:r>
    </w:p>
    <w:p w14:paraId="73CE61C0" w14:textId="77777777" w:rsidR="00BB6D8C" w:rsidRDefault="00000000">
      <w:pPr>
        <w:pStyle w:val="Standard"/>
        <w:spacing w:line="240" w:lineRule="auto"/>
      </w:pPr>
      <w:r>
        <w:t>Omluvena: J. Klapalová</w:t>
      </w:r>
    </w:p>
    <w:p w14:paraId="4F88F59D" w14:textId="77777777" w:rsidR="00BB6D8C" w:rsidRDefault="00000000">
      <w:pPr>
        <w:pStyle w:val="Standard"/>
        <w:spacing w:line="240" w:lineRule="auto"/>
      </w:pPr>
      <w:r>
        <w:t>Přítomny za MAS Brána Vysočiny: manažerka L. Beranová, účetní R. Janíková</w:t>
      </w:r>
    </w:p>
    <w:p w14:paraId="54437368" w14:textId="77777777" w:rsidR="00BB6D8C" w:rsidRDefault="00000000">
      <w:pPr>
        <w:pStyle w:val="Standard"/>
        <w:pBdr>
          <w:bottom w:val="single" w:sz="4" w:space="1" w:color="000000"/>
        </w:pBdr>
        <w:spacing w:line="240" w:lineRule="auto"/>
      </w:pPr>
      <w:r>
        <w:t>Místo konání: kancelář MAS Brána Vysočiny, Radniční 14, Tišnov</w:t>
      </w:r>
    </w:p>
    <w:p w14:paraId="3AAF41C9" w14:textId="1B44B1D3" w:rsidR="00BB6D8C" w:rsidRDefault="00000000">
      <w:pPr>
        <w:pStyle w:val="Odstavecseseznamem"/>
        <w:ind w:left="0"/>
      </w:pPr>
      <w:r>
        <w:t xml:space="preserve">1. Členkám KK byly materiály ke kontrole za období 1-6/2022 zaslány předem elektronicky. Celkem byly kontrolovány: bankovní výpisy CS </w:t>
      </w:r>
      <w:proofErr w:type="gramStart"/>
      <w:r>
        <w:t>1- 6</w:t>
      </w:r>
      <w:proofErr w:type="gramEnd"/>
      <w:r>
        <w:t xml:space="preserve">, kniha přijatých a vystavených faktur, seznam pokladních dokladů, seznam zaměstnanců, vyúčtování Celostátní sítě pro venkov (CSV). Ostatní řešené materiály byly získány z webu MAS (zápisy </w:t>
      </w:r>
      <w:proofErr w:type="spellStart"/>
      <w:r>
        <w:t>PgV</w:t>
      </w:r>
      <w:proofErr w:type="spellEnd"/>
      <w:r>
        <w:t>, KK, VK i VH za 1. pololetí).</w:t>
      </w:r>
    </w:p>
    <w:p w14:paraId="3566BC5A" w14:textId="77777777" w:rsidR="004A6EEF" w:rsidRDefault="004A6EEF">
      <w:pPr>
        <w:pStyle w:val="Odstavecseseznamem"/>
        <w:ind w:left="0"/>
      </w:pPr>
    </w:p>
    <w:p w14:paraId="4F56746C" w14:textId="77777777" w:rsidR="00BB6D8C" w:rsidRDefault="00000000">
      <w:pPr>
        <w:pStyle w:val="Odstavecseseznamem"/>
        <w:spacing w:after="0" w:line="100" w:lineRule="atLeast"/>
        <w:ind w:left="0"/>
      </w:pPr>
      <w:r>
        <w:t>2. Na jednání byly zodpovězeny dotazy na konkrétní záležitosti, které nebyly z dokumentů zřejmé. Audit účetnictví i dotace IROP bude proveden i za rok 2022</w:t>
      </w:r>
      <w:bookmarkStart w:id="0" w:name="_Hlk63861667"/>
      <w:bookmarkEnd w:id="0"/>
      <w:r>
        <w:rPr>
          <w:rFonts w:cs="Times New Roman"/>
          <w:color w:val="auto"/>
          <w:szCs w:val="24"/>
          <w:lang w:eastAsia="en-US"/>
        </w:rPr>
        <w:t xml:space="preserve">. Byly položeny dotazy k závěrům auditu a požadavkům auditora na provádění účetní činnosti. Dotazy k dotačnímu poradenství – výše obratu za 1.pol.roku 2021 </w:t>
      </w:r>
      <w:r>
        <w:rPr>
          <w:rFonts w:cs="Times New Roman"/>
          <w:color w:val="000000"/>
          <w:szCs w:val="24"/>
          <w:lang w:eastAsia="en-US"/>
        </w:rPr>
        <w:t>je 186 500,- Kč, výše zisku 147 382,- Kč.</w:t>
      </w:r>
    </w:p>
    <w:p w14:paraId="64B74EC6" w14:textId="77777777" w:rsidR="004A6EEF" w:rsidRDefault="004A6EEF">
      <w:pPr>
        <w:pStyle w:val="Odstavecseseznamem"/>
        <w:ind w:left="0"/>
      </w:pPr>
    </w:p>
    <w:p w14:paraId="6F5CF93A" w14:textId="6C7BCEBE" w:rsidR="00BB6D8C" w:rsidRDefault="00000000">
      <w:pPr>
        <w:pStyle w:val="Odstavecseseznamem"/>
        <w:ind w:left="0"/>
      </w:pPr>
      <w:r>
        <w:t xml:space="preserve">3. Komise se dále podrobněji zabývala činností orgánů MAS, zejména programového výboru, která probíhala řádně a kontinuálně. Zápisy </w:t>
      </w:r>
      <w:proofErr w:type="spellStart"/>
      <w:r>
        <w:t>PgV</w:t>
      </w:r>
      <w:proofErr w:type="spellEnd"/>
      <w:r>
        <w:t xml:space="preserve"> byly zestručněny a graficky upraveny. Činnost výběrové komise je uvedena u konkrétních výzev a jejích průběhů, výzvy jsou adresně zasílány potenciálním zájemcům nejen z řad členů. Aktuálně je ukončena 5. výzva v PRV na čl. 20 s 4 přijatými projekty (VK zasedla 10.6.2022, </w:t>
      </w:r>
      <w:proofErr w:type="spellStart"/>
      <w:r>
        <w:t>PgV</w:t>
      </w:r>
      <w:proofErr w:type="spellEnd"/>
      <w:r>
        <w:t xml:space="preserve"> 15.6.2022)</w:t>
      </w:r>
    </w:p>
    <w:p w14:paraId="5CD20F0B" w14:textId="77777777" w:rsidR="00BB6D8C" w:rsidRDefault="00BB6D8C">
      <w:pPr>
        <w:pStyle w:val="Odstavecseseznamem"/>
        <w:ind w:left="0"/>
      </w:pPr>
    </w:p>
    <w:p w14:paraId="01980546" w14:textId="77777777" w:rsidR="00BB6D8C" w:rsidRDefault="00000000">
      <w:pPr>
        <w:pStyle w:val="Odstavecseseznamem"/>
        <w:ind w:left="0"/>
      </w:pPr>
      <w:r>
        <w:t xml:space="preserve">4.  Byl probírán </w:t>
      </w:r>
      <w:r w:rsidRPr="00B8169B">
        <w:rPr>
          <w:b/>
          <w:bCs/>
        </w:rPr>
        <w:t>s</w:t>
      </w:r>
      <w:r>
        <w:rPr>
          <w:b/>
          <w:bCs/>
        </w:rPr>
        <w:t>tav členské základny</w:t>
      </w:r>
      <w:r>
        <w:t xml:space="preserve">, k 23. 3. 2022 činí 48 členů. Přibyl Jezdecký klub Ranč </w:t>
      </w:r>
      <w:proofErr w:type="gramStart"/>
      <w:r>
        <w:t>Loučka - spolek</w:t>
      </w:r>
      <w:proofErr w:type="gramEnd"/>
      <w:r>
        <w:t xml:space="preserve"> z Předklášteří. </w:t>
      </w:r>
      <w:r>
        <w:rPr>
          <w:bCs/>
        </w:rPr>
        <w:t xml:space="preserve">Členské </w:t>
      </w:r>
      <w:r>
        <w:rPr>
          <w:bCs/>
          <w:color w:val="auto"/>
        </w:rPr>
        <w:t>příspěvky za rok 2022 byly zaplaceny všemi členy ve výši 316 340,- Kč (3 800,- Kč dosud nezaplaceno)</w:t>
      </w:r>
    </w:p>
    <w:p w14:paraId="400EED9A" w14:textId="77777777" w:rsidR="00BB6D8C" w:rsidRDefault="00BB6D8C">
      <w:pPr>
        <w:pStyle w:val="Odstavecseseznamem"/>
        <w:rPr>
          <w:bCs/>
        </w:rPr>
      </w:pPr>
    </w:p>
    <w:p w14:paraId="17BDF601" w14:textId="77777777" w:rsidR="00BB6D8C" w:rsidRDefault="00000000">
      <w:pPr>
        <w:pStyle w:val="Odstavecseseznamem"/>
        <w:ind w:left="0"/>
      </w:pPr>
      <w:r>
        <w:rPr>
          <w:bCs/>
        </w:rPr>
        <w:t xml:space="preserve">5. KK byla informována o </w:t>
      </w:r>
      <w:r>
        <w:t>schválení standardizace MAS na 2021</w:t>
      </w:r>
      <w:proofErr w:type="gramStart"/>
      <w:r>
        <w:t>+  a</w:t>
      </w:r>
      <w:proofErr w:type="gramEnd"/>
      <w:r>
        <w:t xml:space="preserve"> schválení koncepční části strategie na 2021-2027. Nyní budeme podávat projekt do OP Z+, vybrali jsme v </w:t>
      </w:r>
      <w:proofErr w:type="gramStart"/>
      <w:r>
        <w:t>červnu  partnerské</w:t>
      </w:r>
      <w:proofErr w:type="gramEnd"/>
      <w:r>
        <w:t xml:space="preserve"> organizace do OP Z +m chystat akční plán IROP a projekty do OP ŽP a OP TAK. V PRV bude 6. výzva v 2023 v rámci přechodného období, než nastane SZP. Animace škol na šablony v OP JAK již není z CLLD podporována, děláme to v rámci dotačního poradenství (nový ceník k 15.6.2022).</w:t>
      </w:r>
    </w:p>
    <w:p w14:paraId="6D93471F" w14:textId="77777777" w:rsidR="00BB6D8C" w:rsidRDefault="00BB6D8C">
      <w:pPr>
        <w:pStyle w:val="Odstavecseseznamem"/>
        <w:rPr>
          <w:bCs/>
        </w:rPr>
      </w:pPr>
    </w:p>
    <w:p w14:paraId="461C6A65" w14:textId="0DF36923" w:rsidR="00BB6D8C" w:rsidRDefault="00000000">
      <w:pPr>
        <w:pStyle w:val="Odstavecseseznamem"/>
        <w:ind w:left="0"/>
      </w:pPr>
      <w:r>
        <w:rPr>
          <w:bCs/>
        </w:rPr>
        <w:t>6.</w:t>
      </w:r>
      <w:r>
        <w:t xml:space="preserve"> Byly zodpovězeny dotazy na zaměstnávání ukrajinských občanů v souvislosti s pomocí ukrajinským běžencům. MAS provozuje od 19.4.2022 na faře v Tišnově z dotace MŠMT </w:t>
      </w:r>
      <w:r w:rsidRPr="007C6431">
        <w:t xml:space="preserve">ve výši </w:t>
      </w:r>
      <w:r w:rsidR="007C6431" w:rsidRPr="007C6431">
        <w:t xml:space="preserve">1 050 000 </w:t>
      </w:r>
      <w:proofErr w:type="gramStart"/>
      <w:r w:rsidR="007C6431" w:rsidRPr="007C6431">
        <w:t>Kč</w:t>
      </w:r>
      <w:r w:rsidRPr="007C6431">
        <w:t xml:space="preserve">  </w:t>
      </w:r>
      <w:r>
        <w:t>adaptační</w:t>
      </w:r>
      <w:proofErr w:type="gramEnd"/>
      <w:r>
        <w:t xml:space="preserve"> skupinu pro děti 3-6 let (21 dětí) , kterou vykonávají 4 pečovatelky a 1 pomoc v kuchyni a na úklid. Od 1.7.2022 pak </w:t>
      </w:r>
      <w:proofErr w:type="gramStart"/>
      <w:r>
        <w:t>fungují  další</w:t>
      </w:r>
      <w:proofErr w:type="gramEnd"/>
      <w:r>
        <w:t xml:space="preserve"> dvě skupiny (2x 25 dětí) ve věku 6-15 let na Bezručově 21, zde pracuje 8 pečujících osob a 2 osoby na pomoc v kuchyni a na úklid. Od dubna do června bylo také uskutečněno </w:t>
      </w:r>
      <w:proofErr w:type="gramStart"/>
      <w:r>
        <w:t>zdarma  5</w:t>
      </w:r>
      <w:proofErr w:type="gramEnd"/>
      <w:r>
        <w:t xml:space="preserve"> běhů kurzů českého jazyka (RC Studánka, Inspiro, Hálův mlýn, Radniční 14 a na gymnáziu pro děti 12-18 let). Učebnice byly zakoupeny prostřednictvím města Tišnova</w:t>
      </w:r>
      <w:r w:rsidRPr="007C6431">
        <w:t xml:space="preserve">, další </w:t>
      </w:r>
      <w:r w:rsidR="007C6431" w:rsidRPr="007C6431">
        <w:t xml:space="preserve">platila </w:t>
      </w:r>
      <w:r w:rsidR="007C6431" w:rsidRPr="007C6431">
        <w:lastRenderedPageBreak/>
        <w:t>MAS</w:t>
      </w:r>
      <w:r w:rsidRPr="007C6431">
        <w:t>, od září jsou objednány další učebnice z nadace Kellnera. Pro ukrajinské obč</w:t>
      </w:r>
      <w:r>
        <w:t xml:space="preserve">any byl sepsán soupis nabízené pomoci na Tišnovsku v ukrajinštině, který je aktualizován. </w:t>
      </w:r>
      <w:proofErr w:type="gramStart"/>
      <w:r>
        <w:t>MAS  uspořádala</w:t>
      </w:r>
      <w:proofErr w:type="gramEnd"/>
      <w:r>
        <w:t xml:space="preserve"> 9.4.2022 setkání Ukrajinců Tišnovska. Bylo zasláno 5 dodávek humanitární pomoci na Ukrajinu.</w:t>
      </w:r>
    </w:p>
    <w:p w14:paraId="4B2A8187" w14:textId="77777777" w:rsidR="00BB6D8C" w:rsidRDefault="00BB6D8C">
      <w:pPr>
        <w:pStyle w:val="Odstavecseseznamem"/>
        <w:spacing w:after="0"/>
        <w:ind w:left="0"/>
        <w:rPr>
          <w:rFonts w:eastAsia="Times New Roman" w:cs="Times New Roman"/>
          <w:bCs/>
          <w:color w:val="auto"/>
        </w:rPr>
      </w:pPr>
    </w:p>
    <w:p w14:paraId="38B7F3E8" w14:textId="77777777" w:rsidR="00BB6D8C" w:rsidRDefault="00000000">
      <w:pPr>
        <w:pStyle w:val="Odstavecseseznamem"/>
        <w:spacing w:after="0"/>
        <w:ind w:left="0"/>
      </w:pPr>
      <w:r>
        <w:rPr>
          <w:rFonts w:eastAsia="Times New Roman" w:cs="Times New Roman"/>
          <w:bCs/>
          <w:color w:val="auto"/>
        </w:rPr>
        <w:t xml:space="preserve">7. Manažerka MAS L. Beranová seznámila s </w:t>
      </w:r>
      <w:r>
        <w:rPr>
          <w:rFonts w:eastAsia="Times New Roman" w:cs="Times New Roman"/>
          <w:b/>
          <w:bCs/>
          <w:color w:val="auto"/>
        </w:rPr>
        <w:t>aktuálním sumářem dotací a jejich účtováním:</w:t>
      </w:r>
    </w:p>
    <w:p w14:paraId="0414D949" w14:textId="77777777" w:rsidR="00BB6D8C" w:rsidRDefault="00000000">
      <w:pPr>
        <w:pStyle w:val="Standard"/>
      </w:pPr>
      <w:r>
        <w:t xml:space="preserve">- dotace JMK v programu rozvoje venkova DT 2 </w:t>
      </w:r>
      <w:r>
        <w:rPr>
          <w:i/>
          <w:iCs/>
        </w:rPr>
        <w:t>Podpora provozu místních akčních skupin</w:t>
      </w:r>
      <w:r>
        <w:t xml:space="preserve"> byla schválena ve výši 144 000 (30% spoluúčast MAS), byla vyúčtována do 31.1.2022 ve výši 160 703,- Kč.</w:t>
      </w:r>
    </w:p>
    <w:p w14:paraId="2EE07C5E" w14:textId="77777777" w:rsidR="00BB6D8C" w:rsidRDefault="00000000">
      <w:pPr>
        <w:pStyle w:val="Standard"/>
      </w:pPr>
      <w:r>
        <w:t xml:space="preserve">- dotace JMK </w:t>
      </w:r>
      <w:r>
        <w:rPr>
          <w:i/>
          <w:iCs/>
        </w:rPr>
        <w:t>v oblasti environmentálního vzdělávání, výchovy a osvěty pro rok 2021 na zalejme</w:t>
      </w:r>
      <w:r>
        <w:t xml:space="preserve"> </w:t>
      </w:r>
      <w:r>
        <w:rPr>
          <w:i/>
          <w:iCs/>
        </w:rPr>
        <w:t>Tišnovsko</w:t>
      </w:r>
      <w:r>
        <w:t xml:space="preserve"> byla schválena ve výši 100 000 (20% spoluúčast MAS), byla vyúčtována do 31.1.2022 ve výši 95 312,- Kč.</w:t>
      </w:r>
    </w:p>
    <w:p w14:paraId="750FFA7C" w14:textId="77777777" w:rsidR="00BB6D8C" w:rsidRDefault="00000000">
      <w:pPr>
        <w:pStyle w:val="Standard"/>
      </w:pPr>
      <w:r>
        <w:t xml:space="preserve">- řádná dotace města Tišnova ve výši 49 000 Kč na 2020-2021 na projekt </w:t>
      </w:r>
      <w:r>
        <w:rPr>
          <w:i/>
          <w:iCs/>
        </w:rPr>
        <w:t xml:space="preserve">obnovy studánky na </w:t>
      </w:r>
      <w:proofErr w:type="spellStart"/>
      <w:r>
        <w:rPr>
          <w:i/>
          <w:iCs/>
        </w:rPr>
        <w:t>Klucanině</w:t>
      </w:r>
      <w:proofErr w:type="spellEnd"/>
      <w:r>
        <w:rPr>
          <w:i/>
          <w:iCs/>
        </w:rPr>
        <w:t xml:space="preserve"> a na vycházky na Tišnovsku pro školy</w:t>
      </w:r>
      <w:r>
        <w:t xml:space="preserve"> (30% spoluúčast MAS)</w:t>
      </w:r>
      <w:bookmarkStart w:id="1" w:name="_Hlk78977892"/>
      <w:bookmarkEnd w:id="1"/>
      <w:r>
        <w:t xml:space="preserve">, byla vyúčtována do 25.1.2022 </w:t>
      </w:r>
      <w:r>
        <w:rPr>
          <w:color w:val="auto"/>
        </w:rPr>
        <w:t>ve výši 30 000,- Kč. (28 00,- Kč Vráceno)</w:t>
      </w:r>
    </w:p>
    <w:p w14:paraId="01096D2C" w14:textId="25766B29" w:rsidR="00BB6D8C" w:rsidRDefault="00000000">
      <w:pPr>
        <w:pStyle w:val="Standard"/>
      </w:pPr>
      <w:r>
        <w:rPr>
          <w:color w:val="auto"/>
        </w:rPr>
        <w:t>- dotace města Tišnova na projekt „</w:t>
      </w:r>
      <w:r>
        <w:rPr>
          <w:i/>
          <w:iCs/>
          <w:color w:val="auto"/>
        </w:rPr>
        <w:t>Veletrh zaměstnavatelů Tišnovska</w:t>
      </w:r>
      <w:r>
        <w:rPr>
          <w:color w:val="auto"/>
        </w:rPr>
        <w:t xml:space="preserve"> (9.11.2021)“ ve výši 21 000,- Kč a dalším navýšení </w:t>
      </w:r>
      <w:r w:rsidR="007C6431">
        <w:t xml:space="preserve">o 28 </w:t>
      </w:r>
      <w:r w:rsidR="007C6431" w:rsidRPr="00042B55">
        <w:rPr>
          <w:color w:val="auto"/>
        </w:rPr>
        <w:t>980 Kč</w:t>
      </w:r>
      <w:r w:rsidRPr="00042B55">
        <w:rPr>
          <w:color w:val="auto"/>
        </w:rPr>
        <w:t xml:space="preserve"> (70% </w:t>
      </w:r>
      <w:r w:rsidR="00042B55" w:rsidRPr="00042B55">
        <w:rPr>
          <w:color w:val="auto"/>
        </w:rPr>
        <w:t>spoluúčast</w:t>
      </w:r>
      <w:r w:rsidRPr="00042B55">
        <w:rPr>
          <w:color w:val="auto"/>
        </w:rPr>
        <w:t>), byla</w:t>
      </w:r>
      <w:r>
        <w:rPr>
          <w:color w:val="auto"/>
        </w:rPr>
        <w:t xml:space="preserve"> vyúčtována do 25.1.2022 ve výši 58 976,- Kč.</w:t>
      </w:r>
    </w:p>
    <w:p w14:paraId="61ADE9DA" w14:textId="77777777" w:rsidR="00BB6D8C" w:rsidRDefault="00000000">
      <w:pPr>
        <w:pStyle w:val="Standard"/>
      </w:pPr>
      <w:r>
        <w:rPr>
          <w:color w:val="auto"/>
        </w:rPr>
        <w:t>- mimořádná dotace od města Tišnova ve výši 50 000 Kč na 5% spoluúčast dotace IROP 4.2 byla vyúčtována do 31.1.2022 ve výši 49 733,- Kč (267,- Kč vráceno).</w:t>
      </w:r>
    </w:p>
    <w:p w14:paraId="67F14B3A" w14:textId="77777777" w:rsidR="00BB6D8C" w:rsidRDefault="00000000">
      <w:pPr>
        <w:pStyle w:val="Odstavecseseznamem"/>
        <w:spacing w:after="0"/>
        <w:ind w:left="0"/>
      </w:pPr>
      <w:r>
        <w:t>- Vyúčtování dotace MMR IROP 4.2. „</w:t>
      </w:r>
      <w:r>
        <w:rPr>
          <w:i/>
          <w:iCs/>
        </w:rPr>
        <w:t xml:space="preserve">Zlepšení řídících a administrativních schopností MAS Brána Vysočiny, </w:t>
      </w:r>
      <w:r>
        <w:t>celkové výdaje za období 01-06/2022 byly ve výši 701 453,81 Kč.</w:t>
      </w:r>
    </w:p>
    <w:p w14:paraId="2EDFDF1E" w14:textId="77777777" w:rsidR="00BB6D8C" w:rsidRDefault="00BB6D8C">
      <w:pPr>
        <w:pStyle w:val="Odstavecseseznamem"/>
        <w:spacing w:after="0"/>
        <w:ind w:left="0"/>
      </w:pPr>
    </w:p>
    <w:p w14:paraId="5D7F3CB7" w14:textId="08F23D57" w:rsidR="00BB6D8C" w:rsidRDefault="00000000">
      <w:pPr>
        <w:pStyle w:val="Odstavecseseznamem"/>
        <w:spacing w:after="0"/>
        <w:ind w:left="0"/>
      </w:pPr>
      <w:r>
        <w:t xml:space="preserve">Byly schváleny </w:t>
      </w:r>
      <w:r w:rsidR="007C6431">
        <w:t xml:space="preserve">žádosti o </w:t>
      </w:r>
      <w:r w:rsidRPr="007C6431">
        <w:t xml:space="preserve">dotace na rok 2022 </w:t>
      </w:r>
      <w:r w:rsidR="007C6431" w:rsidRPr="007C6431">
        <w:t>od města</w:t>
      </w:r>
      <w:r w:rsidRPr="007C6431">
        <w:t xml:space="preserve"> Tišnov</w:t>
      </w:r>
      <w:r w:rsidR="007C6431" w:rsidRPr="007C6431">
        <w:t>a</w:t>
      </w:r>
      <w:r w:rsidRPr="007C6431">
        <w:t xml:space="preserve"> </w:t>
      </w:r>
      <w:r>
        <w:t xml:space="preserve">(kultura (100 000, spoluúčast 30 000) na knihu o </w:t>
      </w:r>
      <w:r w:rsidR="00FA3F9E">
        <w:t xml:space="preserve">paní Boženě </w:t>
      </w:r>
      <w:r>
        <w:t xml:space="preserve">Komárkové a planetárium 23.-24.6., ostatní zájmová činnost (72 000 Kč, spoluúčast 25 000 Kč) na veletrh, e-mapu firem a </w:t>
      </w:r>
      <w:proofErr w:type="spellStart"/>
      <w:r>
        <w:t>videovizitky</w:t>
      </w:r>
      <w:proofErr w:type="spellEnd"/>
      <w:r>
        <w:t xml:space="preserve"> a životní prostředí na 107 700 Kč, spoluúčast 32 310 Kč Kč) na vratné kelímky.</w:t>
      </w:r>
    </w:p>
    <w:p w14:paraId="78F2BAF7" w14:textId="77777777" w:rsidR="004A6EEF" w:rsidRDefault="004A6EEF">
      <w:pPr>
        <w:pStyle w:val="Odstavecseseznamem"/>
        <w:spacing w:after="0"/>
        <w:ind w:left="0"/>
      </w:pPr>
    </w:p>
    <w:p w14:paraId="754928DF" w14:textId="5386E457" w:rsidR="00BB6D8C" w:rsidRDefault="00000000">
      <w:pPr>
        <w:pStyle w:val="Odstavecseseznamem"/>
        <w:spacing w:after="0"/>
        <w:ind w:left="0"/>
      </w:pPr>
      <w:r>
        <w:t xml:space="preserve">Byly </w:t>
      </w:r>
      <w:r w:rsidRPr="007C6431">
        <w:t xml:space="preserve">schváleny </w:t>
      </w:r>
      <w:r w:rsidR="007C6431" w:rsidRPr="007C6431">
        <w:t xml:space="preserve">žádosti o </w:t>
      </w:r>
      <w:r w:rsidRPr="007C6431">
        <w:t xml:space="preserve">dotace </w:t>
      </w:r>
      <w:proofErr w:type="gramStart"/>
      <w:r w:rsidR="007C6431" w:rsidRPr="007C6431">
        <w:t xml:space="preserve">od </w:t>
      </w:r>
      <w:r w:rsidRPr="007C6431">
        <w:t xml:space="preserve"> JMK</w:t>
      </w:r>
      <w:proofErr w:type="gramEnd"/>
      <w:r w:rsidRPr="007C6431">
        <w:t xml:space="preserve"> </w:t>
      </w:r>
      <w:r>
        <w:t xml:space="preserve">na péči o výsadby klima (56 000 Kč, spoluúčast 16 800 Kč)  na 4 lokality a pro </w:t>
      </w:r>
      <w:proofErr w:type="spellStart"/>
      <w:r>
        <w:t>MASky</w:t>
      </w:r>
      <w:proofErr w:type="spellEnd"/>
      <w:r>
        <w:t xml:space="preserve"> na podporu </w:t>
      </w:r>
      <w:proofErr w:type="spellStart"/>
      <w:r>
        <w:t>reg.produkce</w:t>
      </w:r>
      <w:proofErr w:type="spellEnd"/>
      <w:r>
        <w:t xml:space="preserve"> (100 000 Kč dotace z 203 000 Kč).</w:t>
      </w:r>
    </w:p>
    <w:p w14:paraId="12B1DE89" w14:textId="77777777" w:rsidR="00BB6D8C" w:rsidRDefault="00BB6D8C">
      <w:pPr>
        <w:pStyle w:val="Odstavecseseznamem"/>
        <w:spacing w:after="0"/>
        <w:ind w:left="0"/>
      </w:pPr>
    </w:p>
    <w:p w14:paraId="4CB2FA6C" w14:textId="77777777" w:rsidR="00BB6D8C" w:rsidRDefault="00000000">
      <w:pPr>
        <w:pStyle w:val="Standard"/>
        <w:spacing w:after="0"/>
      </w:pPr>
      <w:r>
        <w:rPr>
          <w:b/>
        </w:rPr>
        <w:t>-  Stav bankovního účtu k 1.7.2022 je 2 287 740,12 Kč</w:t>
      </w:r>
    </w:p>
    <w:p w14:paraId="093DD41C" w14:textId="77777777" w:rsidR="00BB6D8C" w:rsidRDefault="00BB6D8C">
      <w:pPr>
        <w:pStyle w:val="Odstavecseseznamem"/>
        <w:ind w:left="0"/>
        <w:jc w:val="both"/>
      </w:pPr>
    </w:p>
    <w:p w14:paraId="23FEE59B" w14:textId="474C5213" w:rsidR="00BB6D8C" w:rsidRDefault="00000000">
      <w:pPr>
        <w:pStyle w:val="Odstavecseseznamem"/>
        <w:ind w:left="0"/>
        <w:jc w:val="both"/>
      </w:pPr>
      <w:r>
        <w:rPr>
          <w:rFonts w:cs="Times New Roman"/>
          <w:bCs/>
          <w:color w:val="auto"/>
        </w:rPr>
        <w:t>- MAS podepsala se 4 obcemi</w:t>
      </w:r>
      <w:r w:rsidR="007C6431">
        <w:rPr>
          <w:rFonts w:cs="Times New Roman"/>
          <w:bCs/>
          <w:color w:val="auto"/>
        </w:rPr>
        <w:t xml:space="preserve"> (Vohančice, Heroltice, Březina, </w:t>
      </w:r>
      <w:proofErr w:type="gramStart"/>
      <w:r w:rsidR="007C6431">
        <w:rPr>
          <w:rFonts w:cs="Times New Roman"/>
          <w:bCs/>
          <w:color w:val="auto"/>
        </w:rPr>
        <w:t xml:space="preserve">Předklášteří) </w:t>
      </w:r>
      <w:r>
        <w:rPr>
          <w:rFonts w:cs="Times New Roman"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Pakt</w:t>
      </w:r>
      <w:proofErr w:type="gramEnd"/>
      <w:r>
        <w:rPr>
          <w:rFonts w:cs="Times New Roman"/>
          <w:b/>
          <w:bCs/>
          <w:color w:val="auto"/>
        </w:rPr>
        <w:t xml:space="preserve"> starostů a primátorů</w:t>
      </w:r>
      <w:r>
        <w:rPr>
          <w:rFonts w:cs="Times New Roman"/>
          <w:bCs/>
          <w:color w:val="auto"/>
        </w:rPr>
        <w:t xml:space="preserve">, kde se zavázala splnit snížení emisí do r. 2030 o 40 %. </w:t>
      </w:r>
      <w:r w:rsidR="007C6431">
        <w:rPr>
          <w:rFonts w:cs="Times New Roman"/>
          <w:bCs/>
          <w:color w:val="auto"/>
        </w:rPr>
        <w:t>MAS získala dotaci pro 4 obce</w:t>
      </w:r>
      <w:r>
        <w:rPr>
          <w:rFonts w:cs="Times New Roman"/>
          <w:bCs/>
          <w:color w:val="auto"/>
        </w:rPr>
        <w:t xml:space="preserve"> z MŽP dotaci ve výši 955 000 Kč (20% spoluúčast – MAS, </w:t>
      </w:r>
      <w:r w:rsidR="007C6431">
        <w:rPr>
          <w:rFonts w:cs="Times New Roman"/>
          <w:bCs/>
          <w:color w:val="auto"/>
        </w:rPr>
        <w:t xml:space="preserve">4 </w:t>
      </w:r>
      <w:r>
        <w:rPr>
          <w:rFonts w:cs="Times New Roman"/>
          <w:bCs/>
          <w:color w:val="auto"/>
        </w:rPr>
        <w:t xml:space="preserve">obce) na zpracování </w:t>
      </w:r>
      <w:r>
        <w:rPr>
          <w:bCs/>
          <w:color w:val="auto"/>
        </w:rPr>
        <w:t>akčního plánu pro udržitelné zdroje energie a adaptaci na změny klimatu, také na akce k tématu (semináře, workshopy, bannery).</w:t>
      </w:r>
      <w:r>
        <w:rPr>
          <w:rFonts w:cs="Times New Roman"/>
          <w:bCs/>
          <w:color w:val="auto"/>
        </w:rPr>
        <w:t xml:space="preserve"> Podmínkou je dokončení akčního plánu do 2/23, n</w:t>
      </w:r>
      <w:r>
        <w:rPr>
          <w:rFonts w:eastAsia="Times New Roman" w:cs="Times New Roman"/>
          <w:bCs/>
          <w:color w:val="auto"/>
        </w:rPr>
        <w:t>yní probíhá po odevzdání 1. fáze akčního plánu 2. část.</w:t>
      </w:r>
    </w:p>
    <w:p w14:paraId="04BB1DF7" w14:textId="77777777" w:rsidR="00BB6D8C" w:rsidRDefault="00000000">
      <w:pPr>
        <w:pStyle w:val="Odstavecseseznamem"/>
        <w:ind w:left="0"/>
        <w:jc w:val="both"/>
      </w:pPr>
      <w:r>
        <w:t>- Spolupráce s </w:t>
      </w:r>
      <w:r>
        <w:rPr>
          <w:i/>
          <w:iCs/>
        </w:rPr>
        <w:t xml:space="preserve">Celostátní sítí pro </w:t>
      </w:r>
      <w:proofErr w:type="gramStart"/>
      <w:r>
        <w:rPr>
          <w:i/>
          <w:iCs/>
        </w:rPr>
        <w:t>venkov</w:t>
      </w:r>
      <w:r>
        <w:t>:  3.5.2022</w:t>
      </w:r>
      <w:proofErr w:type="gramEnd"/>
      <w:r>
        <w:t xml:space="preserve"> se konal seminář na zpracování masa.</w:t>
      </w:r>
    </w:p>
    <w:p w14:paraId="1979381E" w14:textId="77777777" w:rsidR="00BB6D8C" w:rsidRDefault="00000000">
      <w:pPr>
        <w:pStyle w:val="Odstavecseseznamem"/>
        <w:ind w:left="0"/>
        <w:jc w:val="both"/>
      </w:pPr>
      <w:r>
        <w:t>Chystáme postery na propagaci KDŘ a na podzim proběhne výjezdní akce na Kyjovské Slovácko na příklady pozemkových úprav v praxi. Opět pro KS JMK vydáme kalendář na 2023.</w:t>
      </w:r>
    </w:p>
    <w:p w14:paraId="5A6A90E4" w14:textId="296427A0" w:rsidR="00BB6D8C" w:rsidRDefault="00000000">
      <w:pPr>
        <w:pStyle w:val="Odstavecseseznamem"/>
        <w:spacing w:after="0"/>
        <w:ind w:left="0"/>
        <w:jc w:val="both"/>
      </w:pPr>
      <w:r>
        <w:rPr>
          <w:color w:val="000000"/>
        </w:rPr>
        <w:t xml:space="preserve">- </w:t>
      </w:r>
      <w:r>
        <w:t xml:space="preserve">Výzva 71 OP VVV – </w:t>
      </w:r>
      <w:r>
        <w:rPr>
          <w:i/>
          <w:iCs/>
        </w:rPr>
        <w:t>šablony pro 9 neziskových organizací na Tišnovsku</w:t>
      </w:r>
      <w:r>
        <w:t xml:space="preserve">, získáno 10,5 mil. Kč na šablony pro neziskovky, podána 7. </w:t>
      </w:r>
      <w:proofErr w:type="spellStart"/>
      <w:r>
        <w:t>ZoR</w:t>
      </w:r>
      <w:proofErr w:type="spellEnd"/>
      <w:r>
        <w:t xml:space="preserve"> a </w:t>
      </w:r>
      <w:proofErr w:type="spellStart"/>
      <w:r>
        <w:t>ŽoP</w:t>
      </w:r>
      <w:proofErr w:type="spellEnd"/>
      <w:r>
        <w:t xml:space="preserve"> za 1-4/2022, je na kontrole po doplnění, další za 5-8/2022 v září 2022</w:t>
      </w:r>
    </w:p>
    <w:p w14:paraId="0250EFFC" w14:textId="77777777" w:rsidR="004A6EEF" w:rsidRDefault="004A6EEF">
      <w:pPr>
        <w:pStyle w:val="Odstavecseseznamem"/>
        <w:spacing w:after="0"/>
        <w:ind w:left="0"/>
        <w:jc w:val="both"/>
      </w:pPr>
    </w:p>
    <w:p w14:paraId="45456B4C" w14:textId="77777777" w:rsidR="00BB6D8C" w:rsidRDefault="00000000">
      <w:pPr>
        <w:pStyle w:val="Normlnweb"/>
        <w:spacing w:before="0" w:after="0"/>
      </w:pPr>
      <w:r>
        <w:lastRenderedPageBreak/>
        <w:t xml:space="preserve">- Projekt Podnikni to se realizoval 2-7/2022 z financí MAS a JMK - </w:t>
      </w:r>
      <w:hyperlink r:id="rId7" w:history="1">
        <w:r>
          <w:rPr>
            <w:rStyle w:val="Internetlink"/>
          </w:rPr>
          <w:t>http://www.masbranavysociny.cz/index.php/podnikni-to</w:t>
        </w:r>
      </w:hyperlink>
    </w:p>
    <w:p w14:paraId="13320EBD" w14:textId="4EE99CE0" w:rsidR="00BB6D8C" w:rsidRDefault="00000000">
      <w:pPr>
        <w:pStyle w:val="Normlnweb"/>
        <w:spacing w:before="0" w:after="0"/>
        <w:rPr>
          <w:rStyle w:val="Internetlink"/>
        </w:rPr>
      </w:pPr>
      <w:r>
        <w:t xml:space="preserve">- Zapojení do bioregionu Tišnovsko - </w:t>
      </w:r>
      <w:hyperlink r:id="rId8" w:history="1">
        <w:r>
          <w:rPr>
            <w:rStyle w:val="Internetlink"/>
          </w:rPr>
          <w:t>http://www.masbranavysociny.cz/index.php/bioregion-tisnovsko</w:t>
        </w:r>
      </w:hyperlink>
    </w:p>
    <w:p w14:paraId="73340DD8" w14:textId="77777777" w:rsidR="004A6EEF" w:rsidRDefault="004A6EEF">
      <w:pPr>
        <w:pStyle w:val="Normlnweb"/>
        <w:spacing w:before="0" w:after="0"/>
      </w:pPr>
    </w:p>
    <w:p w14:paraId="026C311F" w14:textId="2F041AD2" w:rsidR="00BB6D8C" w:rsidRDefault="00000000">
      <w:pPr>
        <w:pStyle w:val="Normlnweb"/>
        <w:spacing w:before="0" w:after="0"/>
        <w:rPr>
          <w:rStyle w:val="Internetlink"/>
        </w:rPr>
      </w:pPr>
      <w:r>
        <w:t xml:space="preserve">- propagujeme s TN podniky </w:t>
      </w:r>
      <w:hyperlink r:id="rId9" w:history="1">
        <w:r>
          <w:rPr>
            <w:rStyle w:val="Internetlink"/>
          </w:rPr>
          <w:t>http://www.masbranavysociny.cz/index.php/na-navsteve-u</w:t>
        </w:r>
      </w:hyperlink>
    </w:p>
    <w:p w14:paraId="4B85ADCD" w14:textId="77777777" w:rsidR="004A6EEF" w:rsidRDefault="004A6EEF">
      <w:pPr>
        <w:pStyle w:val="Normlnweb"/>
        <w:spacing w:before="0" w:after="0"/>
      </w:pPr>
    </w:p>
    <w:p w14:paraId="0BA5182E" w14:textId="76133544" w:rsidR="00BB6D8C" w:rsidRDefault="00000000">
      <w:pPr>
        <w:pStyle w:val="Normlnweb"/>
        <w:spacing w:before="0" w:after="0"/>
        <w:rPr>
          <w:rStyle w:val="Internetlink"/>
        </w:rPr>
      </w:pPr>
      <w:r>
        <w:t xml:space="preserve">- proběhlo 5 seminářů na zpracování zemědělské produkce </w:t>
      </w:r>
      <w:hyperlink r:id="rId10" w:history="1">
        <w:r>
          <w:rPr>
            <w:rStyle w:val="Internetlink"/>
          </w:rPr>
          <w:t>http://www.masbranavysociny.cz/index.php/seminare-zpracovani-produkce</w:t>
        </w:r>
      </w:hyperlink>
    </w:p>
    <w:p w14:paraId="59EF5DAD" w14:textId="77777777" w:rsidR="004A6EEF" w:rsidRDefault="004A6EEF">
      <w:pPr>
        <w:pStyle w:val="Normlnweb"/>
        <w:spacing w:before="0" w:after="0"/>
      </w:pPr>
    </w:p>
    <w:p w14:paraId="579D4CBE" w14:textId="62695E33" w:rsidR="00BB6D8C" w:rsidRDefault="00000000">
      <w:pPr>
        <w:pStyle w:val="Normlnweb"/>
        <w:spacing w:before="0" w:after="0"/>
      </w:pPr>
      <w:r>
        <w:t xml:space="preserve">- </w:t>
      </w:r>
      <w:r>
        <w:rPr>
          <w:i/>
          <w:iCs/>
        </w:rPr>
        <w:t>Malý leader</w:t>
      </w:r>
      <w:r>
        <w:t xml:space="preserve"> – rozděleno bude 85 000 Kč na 6 projektů (podzim vyúčtování, 2 akce již hotovy) </w:t>
      </w:r>
      <w:hyperlink r:id="rId11" w:history="1">
        <w:r>
          <w:rPr>
            <w:rStyle w:val="Internetlink"/>
          </w:rPr>
          <w:t>http://www.masbranavysociny.cz/index.php/maly-leader</w:t>
        </w:r>
      </w:hyperlink>
      <w:r>
        <w:t>. V </w:t>
      </w:r>
      <w:proofErr w:type="gramStart"/>
      <w:r>
        <w:t>roce  202</w:t>
      </w:r>
      <w:r w:rsidR="007C6431">
        <w:t>3</w:t>
      </w:r>
      <w:proofErr w:type="gramEnd"/>
      <w:r>
        <w:t xml:space="preserve"> se zaměřit na péči o malá prostranství, vnitrobloky – doporučení KK.</w:t>
      </w:r>
    </w:p>
    <w:p w14:paraId="7F4FA45D" w14:textId="77777777" w:rsidR="004A6EEF" w:rsidRDefault="004A6EEF">
      <w:pPr>
        <w:pStyle w:val="Normlnweb"/>
        <w:spacing w:before="0" w:after="0"/>
      </w:pPr>
    </w:p>
    <w:p w14:paraId="4895F00D" w14:textId="2D617BD2" w:rsidR="00BB6D8C" w:rsidRDefault="00000000">
      <w:pPr>
        <w:pStyle w:val="Normlnweb"/>
        <w:spacing w:before="0" w:after="0"/>
      </w:pPr>
      <w:r>
        <w:t xml:space="preserve">- podány </w:t>
      </w:r>
      <w:r>
        <w:rPr>
          <w:i/>
          <w:iCs/>
        </w:rPr>
        <w:t>projekty na OP ŽP</w:t>
      </w:r>
      <w:r>
        <w:t xml:space="preserve"> (Borovník ÚSES, Vohančice eroze val)</w:t>
      </w:r>
    </w:p>
    <w:p w14:paraId="0FD800D5" w14:textId="77777777" w:rsidR="004A6EEF" w:rsidRDefault="004A6EEF">
      <w:pPr>
        <w:pStyle w:val="Normlnweb"/>
        <w:spacing w:before="0" w:after="0"/>
      </w:pPr>
    </w:p>
    <w:p w14:paraId="3B2707E0" w14:textId="6CA4A12D" w:rsidR="00BB6D8C" w:rsidRDefault="00000000">
      <w:pPr>
        <w:pStyle w:val="Normlnweb"/>
        <w:spacing w:before="0" w:after="0"/>
      </w:pPr>
      <w:r>
        <w:t xml:space="preserve">- účast MAS na obnově historické polní cesty Tišnov – Jamné. Instalace oltáříku a dokončení cesty do </w:t>
      </w:r>
      <w:proofErr w:type="spellStart"/>
      <w:r>
        <w:t>Jamného</w:t>
      </w:r>
      <w:proofErr w:type="spellEnd"/>
      <w:r>
        <w:t xml:space="preserve"> (keře).</w:t>
      </w:r>
    </w:p>
    <w:p w14:paraId="02C8253A" w14:textId="77777777" w:rsidR="004A6EEF" w:rsidRDefault="004A6EEF">
      <w:pPr>
        <w:pStyle w:val="Normlnweb"/>
        <w:spacing w:before="0" w:after="0"/>
      </w:pPr>
    </w:p>
    <w:p w14:paraId="6365FE74" w14:textId="77777777" w:rsidR="00BB6D8C" w:rsidRDefault="00000000">
      <w:pPr>
        <w:pStyle w:val="Normlnweb"/>
        <w:spacing w:before="0" w:after="0"/>
      </w:pPr>
      <w:r>
        <w:rPr>
          <w:rFonts w:cs="Calibri"/>
          <w:lang w:eastAsia="cs-CZ"/>
        </w:rPr>
        <w:t xml:space="preserve">- získána dotace </w:t>
      </w:r>
      <w:r>
        <w:rPr>
          <w:rFonts w:cs="Calibri"/>
          <w:i/>
          <w:iCs/>
          <w:lang w:eastAsia="cs-CZ"/>
        </w:rPr>
        <w:t>Fondu malých projektů na Sdílení lidových tradic</w:t>
      </w:r>
      <w:r>
        <w:rPr>
          <w:rFonts w:cs="Calibri"/>
          <w:lang w:eastAsia="cs-CZ"/>
        </w:rPr>
        <w:t xml:space="preserve"> s Regionální rozvojovou </w:t>
      </w:r>
      <w:proofErr w:type="spellStart"/>
      <w:r>
        <w:rPr>
          <w:rFonts w:cs="Calibri"/>
          <w:lang w:eastAsia="cs-CZ"/>
        </w:rPr>
        <w:t>agentúrou</w:t>
      </w:r>
      <w:proofErr w:type="spellEnd"/>
      <w:r>
        <w:rPr>
          <w:rFonts w:cs="Calibri"/>
          <w:lang w:eastAsia="cs-CZ"/>
        </w:rPr>
        <w:t xml:space="preserve"> </w:t>
      </w:r>
      <w:proofErr w:type="spellStart"/>
      <w:r>
        <w:rPr>
          <w:rFonts w:cs="Calibri"/>
          <w:lang w:eastAsia="cs-CZ"/>
        </w:rPr>
        <w:t>Šamorín</w:t>
      </w:r>
      <w:proofErr w:type="spellEnd"/>
      <w:r>
        <w:rPr>
          <w:rFonts w:cs="Calibri"/>
          <w:lang w:eastAsia="cs-CZ"/>
        </w:rPr>
        <w:t xml:space="preserve">. Jedná se o projekt na podporu lidových tradic na Tišnovsku i na </w:t>
      </w:r>
      <w:proofErr w:type="spellStart"/>
      <w:r>
        <w:rPr>
          <w:rFonts w:cs="Calibri"/>
          <w:lang w:eastAsia="cs-CZ"/>
        </w:rPr>
        <w:t>Žitnom</w:t>
      </w:r>
      <w:proofErr w:type="spellEnd"/>
      <w:r>
        <w:rPr>
          <w:rFonts w:cs="Calibri"/>
          <w:lang w:eastAsia="cs-CZ"/>
        </w:rPr>
        <w:t xml:space="preserve"> ostrove (slovenský partner </w:t>
      </w:r>
      <w:proofErr w:type="spellStart"/>
      <w:r>
        <w:rPr>
          <w:rFonts w:cs="Calibri"/>
          <w:lang w:eastAsia="cs-CZ"/>
        </w:rPr>
        <w:t>Regionálna</w:t>
      </w:r>
      <w:proofErr w:type="spellEnd"/>
      <w:r>
        <w:rPr>
          <w:rFonts w:cs="Calibri"/>
          <w:lang w:eastAsia="cs-CZ"/>
        </w:rPr>
        <w:t xml:space="preserve"> rozvojová </w:t>
      </w:r>
      <w:proofErr w:type="spellStart"/>
      <w:r>
        <w:rPr>
          <w:rFonts w:cs="Calibri"/>
          <w:lang w:eastAsia="cs-CZ"/>
        </w:rPr>
        <w:t>agentúra</w:t>
      </w:r>
      <w:proofErr w:type="spellEnd"/>
      <w:r>
        <w:rPr>
          <w:rFonts w:cs="Calibri"/>
          <w:lang w:eastAsia="cs-CZ"/>
        </w:rPr>
        <w:t xml:space="preserve"> </w:t>
      </w:r>
      <w:proofErr w:type="spellStart"/>
      <w:r>
        <w:rPr>
          <w:rFonts w:cs="Calibri"/>
          <w:lang w:eastAsia="cs-CZ"/>
        </w:rPr>
        <w:t>Šamorín</w:t>
      </w:r>
      <w:proofErr w:type="spellEnd"/>
      <w:r>
        <w:rPr>
          <w:rFonts w:cs="Calibri"/>
          <w:lang w:eastAsia="cs-CZ"/>
        </w:rPr>
        <w:t xml:space="preserve">). </w:t>
      </w:r>
      <w:r>
        <w:rPr>
          <w:lang w:eastAsia="cs-CZ"/>
        </w:rPr>
        <w:t>Dotaci činí 16 400 EUR, spoluúčast 2460 EUR</w:t>
      </w:r>
      <w:r>
        <w:rPr>
          <w:b/>
          <w:bCs/>
          <w:lang w:eastAsia="cs-CZ"/>
        </w:rPr>
        <w:t>,</w:t>
      </w:r>
      <w:r>
        <w:rPr>
          <w:lang w:eastAsia="cs-CZ"/>
        </w:rPr>
        <w:t xml:space="preserve"> realizace od 11/21 do 10/22. Dále spoluúčast na kroje 1200 EUR, celkem spoluúčast 3660.  3.-4.9. jedeme do </w:t>
      </w:r>
      <w:proofErr w:type="spellStart"/>
      <w:r>
        <w:rPr>
          <w:lang w:eastAsia="cs-CZ"/>
        </w:rPr>
        <w:t>Šamorína</w:t>
      </w:r>
      <w:proofErr w:type="spellEnd"/>
      <w:r>
        <w:rPr>
          <w:lang w:eastAsia="cs-CZ"/>
        </w:rPr>
        <w:t xml:space="preserve"> na festival, 17.-18.9. oni k nám na hody, zpěvní se dává k tisku, bannery také, propagační věci (propiska, vak, oblékací panenka) také finišují.</w:t>
      </w:r>
    </w:p>
    <w:p w14:paraId="5ADF9F6D" w14:textId="77777777" w:rsidR="00BB6D8C" w:rsidRDefault="00BB6D8C">
      <w:pPr>
        <w:pStyle w:val="Normlnweb"/>
        <w:spacing w:before="0" w:after="0"/>
        <w:rPr>
          <w:i/>
          <w:iCs/>
        </w:rPr>
      </w:pPr>
    </w:p>
    <w:p w14:paraId="4FF3F908" w14:textId="5348C882" w:rsidR="00BB6D8C" w:rsidRDefault="00000000">
      <w:pPr>
        <w:pStyle w:val="Normlnweb"/>
        <w:spacing w:before="0" w:after="0"/>
        <w:rPr>
          <w:i/>
          <w:iCs/>
        </w:rPr>
      </w:pPr>
      <w:r>
        <w:rPr>
          <w:i/>
          <w:iCs/>
        </w:rPr>
        <w:t>8. Další doplňkové informace:</w:t>
      </w:r>
    </w:p>
    <w:p w14:paraId="2A41040A" w14:textId="77777777" w:rsidR="004A6EEF" w:rsidRDefault="004A6EEF">
      <w:pPr>
        <w:pStyle w:val="Normlnweb"/>
        <w:spacing w:before="0" w:after="0"/>
      </w:pPr>
    </w:p>
    <w:p w14:paraId="5DA578FA" w14:textId="0E1AAE5D" w:rsidR="00BB6D8C" w:rsidRDefault="00000000">
      <w:pPr>
        <w:pStyle w:val="Normlnweb"/>
        <w:spacing w:before="0" w:after="0"/>
      </w:pPr>
      <w:r>
        <w:t xml:space="preserve">- objednávka z dotace města vratných kelímků 300 ks na teplé a 1000 ks na studené, realizace 2 malovaných </w:t>
      </w:r>
      <w:proofErr w:type="spellStart"/>
      <w:r>
        <w:t>hřiš</w:t>
      </w:r>
      <w:r w:rsidR="005F6630">
        <w:t>tí</w:t>
      </w:r>
      <w:proofErr w:type="spellEnd"/>
      <w:r>
        <w:t xml:space="preserve"> v Tišnově, příprava dalšího stánku na hody v rámci jarmarku neziskovek.</w:t>
      </w:r>
    </w:p>
    <w:p w14:paraId="301EFD31" w14:textId="77777777" w:rsidR="00BB6D8C" w:rsidRDefault="00000000">
      <w:pPr>
        <w:pStyle w:val="Odstavecseseznamem"/>
        <w:spacing w:after="0"/>
        <w:ind w:left="0"/>
      </w:pPr>
      <w:r>
        <w:t>- Regionální značku Brněnsko získala z našeho území p. Košťálová za bylinné sirupy.</w:t>
      </w:r>
    </w:p>
    <w:p w14:paraId="2FE409A2" w14:textId="77777777" w:rsidR="00BB6D8C" w:rsidRDefault="00000000">
      <w:pPr>
        <w:pStyle w:val="Odstavecseseznamem"/>
        <w:spacing w:after="0"/>
        <w:ind w:left="0"/>
      </w:pPr>
      <w:r>
        <w:t xml:space="preserve"> - Webové stránky se budou dělat nové, přehlednější.</w:t>
      </w:r>
    </w:p>
    <w:p w14:paraId="5A52549B" w14:textId="77777777" w:rsidR="00BB6D8C" w:rsidRDefault="00000000">
      <w:pPr>
        <w:pStyle w:val="Odstavecseseznamem"/>
        <w:spacing w:after="0"/>
      </w:pPr>
      <w:r>
        <w:t xml:space="preserve"> </w:t>
      </w:r>
    </w:p>
    <w:p w14:paraId="5589940C" w14:textId="77777777" w:rsidR="004A6EEF" w:rsidRDefault="004A6EEF">
      <w:pPr>
        <w:pStyle w:val="Odstavecseseznamem"/>
        <w:ind w:left="360"/>
        <w:rPr>
          <w:b/>
          <w:bCs/>
        </w:rPr>
      </w:pPr>
    </w:p>
    <w:p w14:paraId="4778A87A" w14:textId="77777777" w:rsidR="004A6EEF" w:rsidRDefault="004A6EEF">
      <w:pPr>
        <w:pStyle w:val="Odstavecseseznamem"/>
        <w:ind w:left="360"/>
        <w:rPr>
          <w:b/>
          <w:bCs/>
        </w:rPr>
      </w:pPr>
    </w:p>
    <w:p w14:paraId="2034C16B" w14:textId="77777777" w:rsidR="004A6EEF" w:rsidRDefault="004A6EEF">
      <w:pPr>
        <w:pStyle w:val="Odstavecseseznamem"/>
        <w:ind w:left="360"/>
        <w:rPr>
          <w:b/>
          <w:bCs/>
        </w:rPr>
      </w:pPr>
    </w:p>
    <w:p w14:paraId="2384A676" w14:textId="7AE43791" w:rsidR="00BB6D8C" w:rsidRDefault="00000000">
      <w:pPr>
        <w:pStyle w:val="Odstavecseseznamem"/>
        <w:ind w:left="360"/>
      </w:pPr>
      <w:r>
        <w:rPr>
          <w:b/>
          <w:bCs/>
        </w:rPr>
        <w:t>Závěr jednání:</w:t>
      </w:r>
    </w:p>
    <w:p w14:paraId="32F2C2C7" w14:textId="26DE2E41" w:rsidR="00BB6D8C" w:rsidRDefault="00000000">
      <w:pPr>
        <w:pStyle w:val="Standard"/>
      </w:pPr>
      <w:r>
        <w:rPr>
          <w:b/>
          <w:bCs/>
        </w:rPr>
        <w:t xml:space="preserve">Kontrolní komise konstatuje, že předložené dokumenty, zápisy i další dokumentace jsou vedeny řádně v souladu se závaznými dokumenty MAS (stanovy, Organizační a provozní řád, vedení účetnictví).  Další jednání KK proběhne po skončení 4. čtvrtletí, bude kontrolována činnost MAS včetně činnosti </w:t>
      </w:r>
      <w:r w:rsidR="005F6630">
        <w:rPr>
          <w:b/>
          <w:bCs/>
        </w:rPr>
        <w:t xml:space="preserve">programového výboru a </w:t>
      </w:r>
      <w:r>
        <w:rPr>
          <w:b/>
          <w:bCs/>
        </w:rPr>
        <w:t>výběrové komise a inventarizace.</w:t>
      </w:r>
      <w:r>
        <w:t> </w:t>
      </w:r>
      <w:r>
        <w:rPr>
          <w:b/>
          <w:bCs/>
        </w:rPr>
        <w:t>Dále bude připravena zpráva pro valnou hromadou v</w:t>
      </w:r>
      <w:r w:rsidR="005F6630">
        <w:rPr>
          <w:b/>
          <w:bCs/>
        </w:rPr>
        <w:t> </w:t>
      </w:r>
      <w:r>
        <w:rPr>
          <w:b/>
          <w:bCs/>
        </w:rPr>
        <w:t>únoru</w:t>
      </w:r>
      <w:r w:rsidR="005F6630">
        <w:rPr>
          <w:b/>
          <w:bCs/>
        </w:rPr>
        <w:t>/březnu</w:t>
      </w:r>
      <w:r>
        <w:rPr>
          <w:b/>
          <w:bCs/>
        </w:rPr>
        <w:t xml:space="preserve"> 202</w:t>
      </w:r>
      <w:r w:rsidR="005F6630">
        <w:rPr>
          <w:b/>
          <w:bCs/>
        </w:rPr>
        <w:t>3</w:t>
      </w:r>
      <w:r>
        <w:rPr>
          <w:b/>
          <w:bCs/>
        </w:rPr>
        <w:t>.</w:t>
      </w:r>
    </w:p>
    <w:p w14:paraId="262711D4" w14:textId="77777777" w:rsidR="00BB6D8C" w:rsidRDefault="00BB6D8C">
      <w:pPr>
        <w:pStyle w:val="Textbody"/>
        <w:widowControl/>
      </w:pPr>
    </w:p>
    <w:p w14:paraId="43E3BB12" w14:textId="12FB7C03" w:rsidR="00BB6D8C" w:rsidRDefault="00BB6D8C">
      <w:pPr>
        <w:pStyle w:val="Textbody"/>
        <w:widowControl/>
      </w:pPr>
    </w:p>
    <w:p w14:paraId="54D13051" w14:textId="78377A39" w:rsidR="004A6EEF" w:rsidRDefault="004A6EEF">
      <w:pPr>
        <w:pStyle w:val="Textbody"/>
        <w:widowControl/>
      </w:pPr>
    </w:p>
    <w:p w14:paraId="764090E0" w14:textId="77777777" w:rsidR="004A6EEF" w:rsidRDefault="004A6EEF">
      <w:pPr>
        <w:pStyle w:val="Textbody"/>
        <w:widowControl/>
      </w:pPr>
    </w:p>
    <w:p w14:paraId="128C7F34" w14:textId="77777777" w:rsidR="00BB6D8C" w:rsidRDefault="00000000">
      <w:pPr>
        <w:pStyle w:val="Textbody"/>
        <w:widowControl/>
      </w:pPr>
      <w:r>
        <w:lastRenderedPageBreak/>
        <w:t>V Tišnově 20. 7. 2022</w:t>
      </w:r>
    </w:p>
    <w:p w14:paraId="32F8A351" w14:textId="77777777" w:rsidR="00BB6D8C" w:rsidRDefault="00BB6D8C">
      <w:pPr>
        <w:pStyle w:val="Textbody"/>
        <w:widowControl/>
      </w:pPr>
    </w:p>
    <w:p w14:paraId="079E2176" w14:textId="77777777" w:rsidR="00BB6D8C" w:rsidRDefault="00BB6D8C">
      <w:pPr>
        <w:pStyle w:val="Textbody"/>
        <w:widowControl/>
      </w:pPr>
    </w:p>
    <w:p w14:paraId="587666D6" w14:textId="77777777" w:rsidR="00BB6D8C" w:rsidRDefault="00000000">
      <w:pPr>
        <w:pStyle w:val="Textbody"/>
        <w:widowControl/>
      </w:pPr>
      <w:r>
        <w:t xml:space="preserve">Podklady připravila: </w:t>
      </w:r>
      <w:r>
        <w:tab/>
        <w:t>PhDr. Libuše Beranová, manažerka MAS BV</w:t>
      </w:r>
    </w:p>
    <w:p w14:paraId="5153F7B5" w14:textId="77777777" w:rsidR="00BB6D8C" w:rsidRDefault="00BB6D8C">
      <w:pPr>
        <w:pStyle w:val="Textbody"/>
        <w:widowControl/>
      </w:pPr>
    </w:p>
    <w:p w14:paraId="1D52BE09" w14:textId="77777777" w:rsidR="00BB6D8C" w:rsidRDefault="00000000">
      <w:pPr>
        <w:pStyle w:val="Textbody"/>
        <w:widowControl/>
      </w:pPr>
      <w:proofErr w:type="gramStart"/>
      <w:r>
        <w:t xml:space="preserve">Ověřila:  </w:t>
      </w:r>
      <w:r>
        <w:tab/>
      </w:r>
      <w:proofErr w:type="gramEnd"/>
      <w:r>
        <w:t>Mgr. Zdeňka Dohnálková, předsedkyně kontrolní komise</w:t>
      </w:r>
    </w:p>
    <w:p w14:paraId="0A512C99" w14:textId="77777777" w:rsidR="00BB6D8C" w:rsidRDefault="00000000">
      <w:pPr>
        <w:pStyle w:val="Textbody"/>
        <w:widowControl/>
      </w:pPr>
      <w:r>
        <w:tab/>
      </w:r>
      <w:r>
        <w:tab/>
        <w:t>Mgr. Ivana Kroutilová, členka kontrolní komise</w:t>
      </w:r>
    </w:p>
    <w:p w14:paraId="6728AE70" w14:textId="77777777" w:rsidR="00BB6D8C" w:rsidRDefault="00BB6D8C">
      <w:pPr>
        <w:pStyle w:val="Standard"/>
      </w:pPr>
    </w:p>
    <w:sectPr w:rsidR="00BB6D8C">
      <w:headerReference w:type="default" r:id="rId12"/>
      <w:pgSz w:w="11906" w:h="16838"/>
      <w:pgMar w:top="1702" w:right="849" w:bottom="1134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2778" w14:textId="77777777" w:rsidR="00F811A5" w:rsidRDefault="00F811A5">
      <w:r>
        <w:separator/>
      </w:r>
    </w:p>
  </w:endnote>
  <w:endnote w:type="continuationSeparator" w:id="0">
    <w:p w14:paraId="01441EF0" w14:textId="77777777" w:rsidR="00F811A5" w:rsidRDefault="00F8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Manga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B445" w14:textId="77777777" w:rsidR="00F811A5" w:rsidRDefault="00F811A5">
      <w:r>
        <w:rPr>
          <w:color w:val="000000"/>
        </w:rPr>
        <w:separator/>
      </w:r>
    </w:p>
  </w:footnote>
  <w:footnote w:type="continuationSeparator" w:id="0">
    <w:p w14:paraId="5E294957" w14:textId="77777777" w:rsidR="00F811A5" w:rsidRDefault="00F8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217E" w14:textId="77777777" w:rsidR="00EF2753" w:rsidRDefault="0000000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EC"/>
    <w:multiLevelType w:val="multilevel"/>
    <w:tmpl w:val="FC82CB8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0EA30AE"/>
    <w:multiLevelType w:val="multilevel"/>
    <w:tmpl w:val="A18E726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ADE1A2B"/>
    <w:multiLevelType w:val="multilevel"/>
    <w:tmpl w:val="36F22BA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DDD27AB"/>
    <w:multiLevelType w:val="multilevel"/>
    <w:tmpl w:val="FC143A54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4D104DE"/>
    <w:multiLevelType w:val="multilevel"/>
    <w:tmpl w:val="B4FEEE2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AF67686"/>
    <w:multiLevelType w:val="multilevel"/>
    <w:tmpl w:val="63F2D26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numFmt w:val="bullet"/>
      <w:lvlText w:val="-"/>
      <w:lvlJc w:val="left"/>
      <w:pPr>
        <w:ind w:left="1080" w:hanging="360"/>
      </w:pPr>
      <w:rPr>
        <w:rFonts w:cs="Times New Roman"/>
        <w:i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45AB7"/>
    <w:multiLevelType w:val="multilevel"/>
    <w:tmpl w:val="F0F0BF80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53163426">
    <w:abstractNumId w:val="0"/>
  </w:num>
  <w:num w:numId="2" w16cid:durableId="80639235">
    <w:abstractNumId w:val="3"/>
  </w:num>
  <w:num w:numId="3" w16cid:durableId="1920560886">
    <w:abstractNumId w:val="2"/>
  </w:num>
  <w:num w:numId="4" w16cid:durableId="57017630">
    <w:abstractNumId w:val="1"/>
  </w:num>
  <w:num w:numId="5" w16cid:durableId="599677296">
    <w:abstractNumId w:val="6"/>
  </w:num>
  <w:num w:numId="6" w16cid:durableId="1017079173">
    <w:abstractNumId w:val="4"/>
  </w:num>
  <w:num w:numId="7" w16cid:durableId="209789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C"/>
    <w:rsid w:val="00042B55"/>
    <w:rsid w:val="004A6EEF"/>
    <w:rsid w:val="005F6630"/>
    <w:rsid w:val="006F64C7"/>
    <w:rsid w:val="007C6431"/>
    <w:rsid w:val="00B8169B"/>
    <w:rsid w:val="00BB6D8C"/>
    <w:rsid w:val="00F811A5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317"/>
  <w15:docId w15:val="{FCD48830-F82D-4B49-87D9-5B8BE82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uiPriority w:val="9"/>
    <w:semiHidden/>
    <w:unhideWhenUsed/>
    <w:qFormat/>
    <w:pPr>
      <w:widowControl/>
      <w:suppressAutoHyphens w:val="0"/>
      <w:spacing w:before="280" w:after="280" w:line="240" w:lineRule="auto"/>
      <w:outlineLvl w:val="2"/>
    </w:pPr>
    <w:rPr>
      <w:rFonts w:eastAsia="Times New Roman" w:cs="Times New Roman"/>
      <w:b/>
      <w:bCs/>
      <w:color w:val="000000"/>
      <w:kern w:val="0"/>
      <w:sz w:val="27"/>
      <w:szCs w:val="27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after="160" w:line="251" w:lineRule="auto"/>
    </w:pPr>
    <w:rPr>
      <w:rFonts w:ascii="Times New Roman" w:eastAsia="SimSun, 宋体" w:hAnsi="Times New Roman" w:cs="Mangal, Mangal"/>
      <w:color w:val="00000A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100" w:lineRule="atLeast"/>
    </w:pPr>
    <w:rPr>
      <w:szCs w:val="21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100" w:lineRule="atLeast"/>
    </w:pPr>
    <w:rPr>
      <w:szCs w:val="21"/>
    </w:rPr>
  </w:style>
  <w:style w:type="paragraph" w:styleId="Odstavecseseznamem">
    <w:name w:val="List Paragraph"/>
    <w:basedOn w:val="Standard"/>
    <w:pPr>
      <w:ind w:left="720"/>
    </w:pPr>
    <w:rPr>
      <w:szCs w:val="21"/>
    </w:rPr>
  </w:style>
  <w:style w:type="paragraph" w:styleId="Textkomente">
    <w:name w:val="annotation text"/>
    <w:basedOn w:val="Standard"/>
    <w:pPr>
      <w:spacing w:line="100" w:lineRule="atLeast"/>
    </w:pPr>
    <w:rPr>
      <w:sz w:val="20"/>
      <w:szCs w:val="18"/>
    </w:rPr>
  </w:style>
  <w:style w:type="paragraph" w:styleId="Pedmtkomente">
    <w:name w:val="annotation subject"/>
    <w:basedOn w:val="Textkomente"/>
    <w:rPr>
      <w:b/>
      <w:bCs/>
    </w:rPr>
  </w:style>
  <w:style w:type="paragraph" w:styleId="Normlnweb">
    <w:name w:val="Normal (Web)"/>
    <w:basedOn w:val="Standard"/>
    <w:pPr>
      <w:widowControl/>
      <w:suppressAutoHyphens w:val="0"/>
      <w:spacing w:before="28" w:after="28" w:line="100" w:lineRule="atLeast"/>
    </w:pPr>
    <w:rPr>
      <w:rFonts w:eastAsia="Times New Roman" w:cs="Times New Roman"/>
      <w:lang w:bidi="ar-SA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WW8Num1z0">
    <w:name w:val="WW8Num1z0"/>
    <w:rPr>
      <w:b/>
      <w:bCs/>
      <w:color w:val="000000"/>
    </w:rPr>
  </w:style>
  <w:style w:type="character" w:customStyle="1" w:styleId="WW8Num1z1">
    <w:name w:val="WW8Num1z1"/>
    <w:rPr>
      <w:rFonts w:ascii="Times New Roman" w:eastAsia="Times New Roman" w:hAnsi="Times New Roman" w:cs="Times New Roman"/>
      <w:i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rPr>
      <w:rFonts w:ascii="Segoe UI" w:eastAsia="Lucida Sans Unicode" w:hAnsi="Segoe UI" w:cs="Mangal, 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Lucida Sans Unicode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ZhlavChar">
    <w:name w:val="Záhlaví Char"/>
    <w:rPr>
      <w:rFonts w:ascii="Times New Roman" w:eastAsia="SimSun, 宋体" w:hAnsi="Times New Roman" w:cs="Mangal, Mangal"/>
      <w:color w:val="00000A"/>
      <w:sz w:val="24"/>
      <w:szCs w:val="21"/>
      <w:lang w:eastAsia="zh-CN" w:bidi="hi-IN"/>
    </w:rPr>
  </w:style>
  <w:style w:type="character" w:customStyle="1" w:styleId="ZpatChar">
    <w:name w:val="Zápatí Char"/>
    <w:rPr>
      <w:rFonts w:ascii="Times New Roman" w:eastAsia="SimSun, 宋体" w:hAnsi="Times New Roman" w:cs="Mangal, Mangal"/>
      <w:color w:val="00000A"/>
      <w:sz w:val="24"/>
      <w:szCs w:val="21"/>
      <w:lang w:eastAsia="zh-CN" w:bidi="hi-IN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SimSun, 宋体" w:hAnsi="Times New Roman" w:cs="Mangal, Mangal"/>
      <w:color w:val="00000A"/>
      <w:sz w:val="20"/>
      <w:szCs w:val="18"/>
      <w:lang w:eastAsia="zh-CN" w:bidi="hi-IN"/>
    </w:rPr>
  </w:style>
  <w:style w:type="character" w:customStyle="1" w:styleId="PedmtkomenteChar">
    <w:name w:val="Předmět komentáře Char"/>
    <w:rPr>
      <w:rFonts w:ascii="Times New Roman" w:eastAsia="SimSun, 宋体" w:hAnsi="Times New Roman" w:cs="Mangal, Mangal"/>
      <w:b/>
      <w:bCs/>
      <w:color w:val="00000A"/>
      <w:sz w:val="20"/>
      <w:szCs w:val="18"/>
      <w:lang w:eastAsia="zh-CN" w:bidi="hi-I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SimSun, 宋体" w:cs="Times New Roman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strike w:val="0"/>
      <w:dstrike w:val="0"/>
      <w:u w:val="non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TextbublinyChar1">
    <w:name w:val="Text bubliny Char1"/>
    <w:rPr>
      <w:rFonts w:ascii="Segoe UI" w:eastAsia="SimSun, 宋体" w:hAnsi="Segoe UI" w:cs="Mangal, Mangal"/>
      <w:color w:val="00000A"/>
      <w:kern w:val="3"/>
      <w:sz w:val="18"/>
      <w:szCs w:val="16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styleId="Zdraznn">
    <w:name w:val="Emphasis"/>
    <w:rPr>
      <w:i/>
      <w:iCs/>
    </w:rPr>
  </w:style>
  <w:style w:type="character" w:customStyle="1" w:styleId="Nadpis3Char">
    <w:name w:val="Nadpis 3 Char"/>
    <w:rPr>
      <w:b/>
      <w:bCs/>
      <w:sz w:val="27"/>
      <w:szCs w:val="27"/>
    </w:rPr>
  </w:style>
  <w:style w:type="character" w:styleId="Nevyeenzmnka">
    <w:name w:val="Unresolved Mention"/>
    <w:rPr>
      <w:color w:val="605E5C"/>
      <w:shd w:val="clear" w:color="auto" w:fill="E1DFDD"/>
    </w:rPr>
  </w:style>
  <w:style w:type="character" w:styleId="Siln">
    <w:name w:val="Strong"/>
    <w:basedOn w:val="Standardnpsmoodstavce"/>
    <w:rPr>
      <w:b/>
      <w:bCs/>
    </w:rPr>
  </w:style>
  <w:style w:type="character" w:customStyle="1" w:styleId="ListLabel7">
    <w:name w:val="ListLabel 7"/>
    <w:rPr>
      <w:b/>
      <w:bCs/>
      <w:color w:val="000000"/>
    </w:rPr>
  </w:style>
  <w:style w:type="character" w:customStyle="1" w:styleId="ListLabel8">
    <w:name w:val="ListLabel 8"/>
    <w:rPr>
      <w:rFonts w:cs="Times New Roman"/>
      <w:i/>
    </w:rPr>
  </w:style>
  <w:style w:type="character" w:customStyle="1" w:styleId="ListLabel9">
    <w:name w:val="ListLabel 9"/>
    <w:rPr>
      <w:rFonts w:cs="Symbol"/>
      <w:color w:val="000000"/>
    </w:rPr>
  </w:style>
  <w:style w:type="character" w:customStyle="1" w:styleId="ListLabel10">
    <w:name w:val="ListLabel 10"/>
    <w:rPr>
      <w:rFonts w:cs="Symbol"/>
      <w:color w:val="000000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  <w:color w:val="00000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  <w:color w:val="00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  <w:color w:val="000000"/>
    </w:rPr>
  </w:style>
  <w:style w:type="character" w:customStyle="1" w:styleId="ListLabel19">
    <w:name w:val="ListLabel 19"/>
    <w:rPr>
      <w:rFonts w:cs="Symbol"/>
      <w:color w:val="000000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  <w:color w:val="000000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  <w:color w:val="00000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bCs/>
    </w:rPr>
  </w:style>
  <w:style w:type="character" w:customStyle="1" w:styleId="ListLabel34">
    <w:name w:val="ListLabel 34"/>
    <w:rPr>
      <w:b/>
      <w:bCs/>
      <w:color w:val="000000"/>
    </w:rPr>
  </w:style>
  <w:style w:type="character" w:customStyle="1" w:styleId="ListLabel35">
    <w:name w:val="ListLabel 35"/>
    <w:rPr>
      <w:rFonts w:cs="Times New Roman"/>
      <w:i/>
    </w:rPr>
  </w:style>
  <w:style w:type="character" w:customStyle="1" w:styleId="ListLabel36">
    <w:name w:val="ListLabel 36"/>
    <w:rPr>
      <w:rFonts w:cs="Symbol"/>
      <w:color w:val="000000"/>
    </w:rPr>
  </w:style>
  <w:style w:type="character" w:customStyle="1" w:styleId="ListLabel37">
    <w:name w:val="ListLabel 37"/>
    <w:rPr>
      <w:rFonts w:cs="Symbol"/>
      <w:color w:val="000000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  <w:color w:val="000000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  <w:color w:val="000000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  <w:color w:val="000000"/>
    </w:rPr>
  </w:style>
  <w:style w:type="character" w:customStyle="1" w:styleId="ListLabel46">
    <w:name w:val="ListLabel 46"/>
    <w:rPr>
      <w:rFonts w:cs="Symbol"/>
      <w:color w:val="000000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  <w:color w:val="000000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  <w:color w:val="000000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eastAsia="Times New Roman" w:cs="Aria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eastAsia="Times New Roman" w:cs="Times New Roman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bCs/>
    </w:rPr>
  </w:style>
  <w:style w:type="character" w:customStyle="1" w:styleId="ListLabel79">
    <w:name w:val="ListLabel 79"/>
    <w:rPr>
      <w:b/>
      <w:bCs/>
      <w:color w:val="000000"/>
    </w:rPr>
  </w:style>
  <w:style w:type="character" w:customStyle="1" w:styleId="ListLabel80">
    <w:name w:val="ListLabel 80"/>
    <w:rPr>
      <w:rFonts w:cs="Times New Roman"/>
      <w:i/>
    </w:rPr>
  </w:style>
  <w:style w:type="character" w:customStyle="1" w:styleId="ListLabel81">
    <w:name w:val="ListLabel 81"/>
    <w:rPr>
      <w:rFonts w:cs="Symbol"/>
      <w:color w:val="000000"/>
    </w:rPr>
  </w:style>
  <w:style w:type="character" w:customStyle="1" w:styleId="ListLabel82">
    <w:name w:val="ListLabel 82"/>
    <w:rPr>
      <w:rFonts w:cs="Symbol"/>
      <w:color w:val="000000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  <w:color w:val="000000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87">
    <w:name w:val="ListLabel 87"/>
    <w:rPr>
      <w:rFonts w:cs="Symbol"/>
      <w:color w:val="000000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cs="Symbol"/>
      <w:color w:val="000000"/>
    </w:rPr>
  </w:style>
  <w:style w:type="character" w:customStyle="1" w:styleId="ListLabel91">
    <w:name w:val="ListLabel 91"/>
    <w:rPr>
      <w:rFonts w:cs="Symbol"/>
      <w:color w:val="000000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  <w:color w:val="000000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Symbol"/>
      <w:color w:val="000000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bCs/>
    </w:rPr>
  </w:style>
  <w:style w:type="character" w:customStyle="1" w:styleId="ListLabel100">
    <w:name w:val="ListLabel 100"/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customStyle="1" w:styleId="ListLabel101">
    <w:name w:val="ListLabel 101"/>
    <w:rPr>
      <w:b/>
      <w:bCs/>
      <w:color w:val="000000"/>
    </w:rPr>
  </w:style>
  <w:style w:type="character" w:customStyle="1" w:styleId="ListLabel102">
    <w:name w:val="ListLabel 102"/>
    <w:rPr>
      <w:rFonts w:cs="Times New Roman"/>
      <w:i/>
    </w:rPr>
  </w:style>
  <w:style w:type="character" w:customStyle="1" w:styleId="ListLabel103">
    <w:name w:val="ListLabel 103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8Num1">
    <w:name w:val="WW8Num1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3">
    <w:name w:val="WW8Num3"/>
    <w:basedOn w:val="Bezseznamu"/>
    <w:pPr>
      <w:numPr>
        <w:numId w:val="4"/>
      </w:numPr>
    </w:pPr>
  </w:style>
  <w:style w:type="numbering" w:customStyle="1" w:styleId="WW8Num4">
    <w:name w:val="WW8Num4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  <w:style w:type="numbering" w:customStyle="1" w:styleId="WWNum2">
    <w:name w:val="WWNum2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branavysociny.cz/index.php/bioregion-tisnovs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branavysociny.cz/index.php/podnikni-t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branavysociny.cz/index.php/maly-lead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branavysociny.cz/index.php/seminare-zpracovani-produk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branavysociny.cz/index.php/na-navsteve-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6</cp:revision>
  <cp:lastPrinted>2022-08-02T08:52:00Z</cp:lastPrinted>
  <dcterms:created xsi:type="dcterms:W3CDTF">2022-08-01T13:53:00Z</dcterms:created>
  <dcterms:modified xsi:type="dcterms:W3CDTF">2022-08-02T08:53:00Z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